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E909" w14:textId="554C2189" w:rsidR="00610019" w:rsidRPr="00223455" w:rsidRDefault="001603CC" w:rsidP="00EA1E11">
      <w:pPr>
        <w:jc w:val="center"/>
        <w:rPr>
          <w:rFonts w:cstheme="minorHAnsi"/>
          <w:b/>
          <w:bCs/>
        </w:rPr>
      </w:pPr>
      <w:r w:rsidRPr="00223455">
        <w:rPr>
          <w:rFonts w:cstheme="minorHAnsi"/>
          <w:b/>
          <w:bCs/>
        </w:rPr>
        <w:t>Complications of Pharmaceuticals Every Optometrist Should Know!</w:t>
      </w:r>
    </w:p>
    <w:p w14:paraId="64AF5A56" w14:textId="72242F55" w:rsidR="006F4888" w:rsidRPr="00223455" w:rsidRDefault="006F4888" w:rsidP="00EA1E11">
      <w:pPr>
        <w:jc w:val="center"/>
        <w:rPr>
          <w:rFonts w:cstheme="minorHAnsi"/>
          <w:bCs/>
        </w:rPr>
      </w:pPr>
      <w:r w:rsidRPr="00223455">
        <w:rPr>
          <w:rFonts w:cstheme="minorHAnsi"/>
          <w:bCs/>
        </w:rPr>
        <w:t>Greg Caldwell, OD, FAAO</w:t>
      </w:r>
    </w:p>
    <w:p w14:paraId="7138CD62" w14:textId="52D8882A" w:rsidR="00876620" w:rsidRPr="00223455" w:rsidRDefault="00FE57EF" w:rsidP="00EA1E11">
      <w:pPr>
        <w:jc w:val="center"/>
        <w:rPr>
          <w:rFonts w:cstheme="minorHAnsi"/>
          <w:bCs/>
        </w:rPr>
      </w:pPr>
      <w:hyperlink r:id="rId7" w:history="1">
        <w:r w:rsidR="00B57382" w:rsidRPr="00223455">
          <w:rPr>
            <w:rStyle w:val="Hyperlink"/>
            <w:rFonts w:cstheme="minorHAnsi"/>
            <w:bCs/>
          </w:rPr>
          <w:t>grubod@gmail.com</w:t>
        </w:r>
      </w:hyperlink>
    </w:p>
    <w:p w14:paraId="60B6FEED" w14:textId="21C7B266" w:rsidR="00B57382" w:rsidRDefault="00B57382" w:rsidP="00EA1E11">
      <w:pPr>
        <w:jc w:val="center"/>
        <w:rPr>
          <w:rFonts w:cstheme="minorHAnsi"/>
          <w:bCs/>
        </w:rPr>
      </w:pPr>
      <w:r w:rsidRPr="00223455">
        <w:rPr>
          <w:rFonts w:cstheme="minorHAnsi"/>
          <w:bCs/>
        </w:rPr>
        <w:t>814-931-2030 cell #</w:t>
      </w:r>
    </w:p>
    <w:p w14:paraId="0513ACE7" w14:textId="5513CFF9" w:rsidR="003500BD" w:rsidRPr="00223455" w:rsidRDefault="003500BD" w:rsidP="00EA1E11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CEE/TQ Course</w:t>
      </w:r>
    </w:p>
    <w:p w14:paraId="62E93DAB" w14:textId="77777777" w:rsidR="00223455" w:rsidRPr="00223455" w:rsidRDefault="00223455" w:rsidP="00EA1E11">
      <w:pPr>
        <w:jc w:val="center"/>
        <w:rPr>
          <w:rFonts w:cstheme="minorHAnsi"/>
          <w:bCs/>
        </w:rPr>
      </w:pPr>
    </w:p>
    <w:p w14:paraId="5E4D2422" w14:textId="77777777" w:rsidR="00B57382" w:rsidRPr="00223455" w:rsidRDefault="00B57382" w:rsidP="001603CC">
      <w:pPr>
        <w:rPr>
          <w:rFonts w:cstheme="minorHAnsi"/>
        </w:rPr>
      </w:pPr>
    </w:p>
    <w:p w14:paraId="191B86B1" w14:textId="5C52B797" w:rsidR="00B57382" w:rsidRPr="00223455" w:rsidRDefault="00B57382" w:rsidP="001603CC">
      <w:pPr>
        <w:rPr>
          <w:rFonts w:cstheme="minorHAnsi"/>
        </w:rPr>
      </w:pPr>
      <w:r w:rsidRPr="00223455">
        <w:rPr>
          <w:rFonts w:cstheme="minorHAnsi"/>
          <w:b/>
        </w:rPr>
        <w:t xml:space="preserve">Course Categories:  </w:t>
      </w:r>
      <w:r w:rsidRPr="00223455">
        <w:rPr>
          <w:rFonts w:cstheme="minorHAnsi"/>
        </w:rPr>
        <w:t xml:space="preserve">Pharmacology </w:t>
      </w:r>
    </w:p>
    <w:p w14:paraId="4DF488C2" w14:textId="77777777" w:rsidR="00B57382" w:rsidRPr="00223455" w:rsidRDefault="00B57382" w:rsidP="001603CC">
      <w:pPr>
        <w:rPr>
          <w:rFonts w:cstheme="minorHAnsi"/>
          <w:b/>
        </w:rPr>
      </w:pPr>
    </w:p>
    <w:p w14:paraId="79700082" w14:textId="500AEB5F" w:rsidR="00B57382" w:rsidRPr="00223455" w:rsidRDefault="00B57382" w:rsidP="001603CC">
      <w:pPr>
        <w:rPr>
          <w:rFonts w:cstheme="minorHAnsi"/>
          <w:b/>
        </w:rPr>
      </w:pPr>
      <w:r w:rsidRPr="00223455">
        <w:rPr>
          <w:rFonts w:cstheme="minorHAnsi"/>
          <w:b/>
        </w:rPr>
        <w:t>Course Description:</w:t>
      </w:r>
    </w:p>
    <w:p w14:paraId="18DCA84D" w14:textId="77777777" w:rsidR="00B57382" w:rsidRPr="00223455" w:rsidRDefault="00B57382" w:rsidP="001603CC">
      <w:pPr>
        <w:rPr>
          <w:rFonts w:cstheme="minorHAnsi"/>
        </w:rPr>
      </w:pPr>
    </w:p>
    <w:p w14:paraId="1015D5EA" w14:textId="741E76C5" w:rsidR="001603CC" w:rsidRPr="00223455" w:rsidRDefault="00F43A16" w:rsidP="001603CC">
      <w:pPr>
        <w:rPr>
          <w:rFonts w:cstheme="minorHAnsi"/>
        </w:rPr>
      </w:pPr>
      <w:r w:rsidRPr="00223455">
        <w:rPr>
          <w:rFonts w:cstheme="minorHAnsi"/>
        </w:rPr>
        <w:t xml:space="preserve">Optometrists use topical and oral </w:t>
      </w:r>
      <w:r w:rsidR="00FC741D" w:rsidRPr="00223455">
        <w:rPr>
          <w:rFonts w:cstheme="minorHAnsi"/>
        </w:rPr>
        <w:t xml:space="preserve">(systemic) </w:t>
      </w:r>
      <w:r w:rsidRPr="00223455">
        <w:rPr>
          <w:rFonts w:cstheme="minorHAnsi"/>
        </w:rPr>
        <w:t xml:space="preserve">pharmaceuticals for </w:t>
      </w:r>
      <w:r w:rsidR="00FC741D" w:rsidRPr="00223455">
        <w:rPr>
          <w:rFonts w:cstheme="minorHAnsi"/>
        </w:rPr>
        <w:t xml:space="preserve">the </w:t>
      </w:r>
      <w:r w:rsidRPr="00223455">
        <w:rPr>
          <w:rFonts w:cstheme="minorHAnsi"/>
        </w:rPr>
        <w:t>treat</w:t>
      </w:r>
      <w:r w:rsidR="00FC741D" w:rsidRPr="00223455">
        <w:rPr>
          <w:rFonts w:cstheme="minorHAnsi"/>
        </w:rPr>
        <w:t>ment of a variety of</w:t>
      </w:r>
      <w:r w:rsidRPr="00223455">
        <w:rPr>
          <w:rFonts w:cstheme="minorHAnsi"/>
        </w:rPr>
        <w:t xml:space="preserve"> ocular conditions in patient care.</w:t>
      </w:r>
      <w:r w:rsidR="00FC741D" w:rsidRPr="00223455">
        <w:rPr>
          <w:rFonts w:cstheme="minorHAnsi"/>
        </w:rPr>
        <w:t xml:space="preserve">  Comparably</w:t>
      </w:r>
      <w:r w:rsidRPr="00223455">
        <w:rPr>
          <w:rFonts w:cstheme="minorHAnsi"/>
        </w:rPr>
        <w:t>, systemic</w:t>
      </w:r>
      <w:r w:rsidR="00FC741D" w:rsidRPr="00223455">
        <w:rPr>
          <w:rFonts w:cstheme="minorHAnsi"/>
        </w:rPr>
        <w:t xml:space="preserve"> </w:t>
      </w:r>
      <w:r w:rsidRPr="00223455">
        <w:rPr>
          <w:rFonts w:cstheme="minorHAnsi"/>
        </w:rPr>
        <w:t>medicines are used to treat numerous conditions by</w:t>
      </w:r>
      <w:r w:rsidR="00EA1E11" w:rsidRPr="00223455">
        <w:rPr>
          <w:rFonts w:cstheme="minorHAnsi"/>
        </w:rPr>
        <w:t xml:space="preserve"> various practitioners in the healthcare system</w:t>
      </w:r>
      <w:r w:rsidRPr="00223455">
        <w:rPr>
          <w:rFonts w:cstheme="minorHAnsi"/>
        </w:rPr>
        <w:t xml:space="preserve">.  </w:t>
      </w:r>
      <w:r w:rsidR="00FC741D" w:rsidRPr="00223455">
        <w:rPr>
          <w:rFonts w:cstheme="minorHAnsi"/>
        </w:rPr>
        <w:t>T</w:t>
      </w:r>
      <w:r w:rsidRPr="00223455">
        <w:rPr>
          <w:rFonts w:cstheme="minorHAnsi"/>
        </w:rPr>
        <w:t xml:space="preserve">hese </w:t>
      </w:r>
      <w:r w:rsidR="00FC741D" w:rsidRPr="00223455">
        <w:rPr>
          <w:rFonts w:cstheme="minorHAnsi"/>
        </w:rPr>
        <w:t xml:space="preserve">treatments or </w:t>
      </w:r>
      <w:r w:rsidRPr="00223455">
        <w:rPr>
          <w:rFonts w:cstheme="minorHAnsi"/>
        </w:rPr>
        <w:t>pharmaceutical</w:t>
      </w:r>
      <w:r w:rsidR="006F4888" w:rsidRPr="00223455">
        <w:rPr>
          <w:rFonts w:cstheme="minorHAnsi"/>
        </w:rPr>
        <w:t xml:space="preserve"> agents have the potential to</w:t>
      </w:r>
      <w:r w:rsidR="00FC741D" w:rsidRPr="00223455">
        <w:rPr>
          <w:rFonts w:cstheme="minorHAnsi"/>
        </w:rPr>
        <w:t xml:space="preserve"> produce </w:t>
      </w:r>
      <w:r w:rsidR="006F4888" w:rsidRPr="00223455">
        <w:rPr>
          <w:rFonts w:cstheme="minorHAnsi"/>
        </w:rPr>
        <w:t xml:space="preserve">ocular </w:t>
      </w:r>
      <w:r w:rsidR="00FC741D" w:rsidRPr="00223455">
        <w:rPr>
          <w:rFonts w:cstheme="minorHAnsi"/>
        </w:rPr>
        <w:t>adverse</w:t>
      </w:r>
      <w:r w:rsidRPr="00223455">
        <w:rPr>
          <w:rFonts w:cstheme="minorHAnsi"/>
        </w:rPr>
        <w:t xml:space="preserve"> side effects and </w:t>
      </w:r>
      <w:r w:rsidR="00FC741D" w:rsidRPr="00223455">
        <w:rPr>
          <w:rFonts w:cstheme="minorHAnsi"/>
        </w:rPr>
        <w:t xml:space="preserve">systemic </w:t>
      </w:r>
      <w:r w:rsidRPr="00223455">
        <w:rPr>
          <w:rFonts w:cstheme="minorHAnsi"/>
        </w:rPr>
        <w:t xml:space="preserve">complications.  </w:t>
      </w:r>
      <w:r w:rsidR="00EA1E11" w:rsidRPr="00223455">
        <w:rPr>
          <w:rFonts w:cstheme="minorHAnsi"/>
        </w:rPr>
        <w:t xml:space="preserve">This course will discuss the complications and adverse events that every optometrist should know.  </w:t>
      </w:r>
      <w:r w:rsidR="00714FB5" w:rsidRPr="00223455">
        <w:rPr>
          <w:rFonts w:cstheme="minorHAnsi"/>
        </w:rPr>
        <w:t>This presentation will immediately aid in everyday patient care.</w:t>
      </w:r>
      <w:r w:rsidR="00EA1E11" w:rsidRPr="00223455">
        <w:rPr>
          <w:rFonts w:cstheme="minorHAnsi"/>
        </w:rPr>
        <w:t xml:space="preserve"> </w:t>
      </w:r>
    </w:p>
    <w:p w14:paraId="40CB02DA" w14:textId="4739464D" w:rsidR="006F4888" w:rsidRPr="00223455" w:rsidRDefault="006F4888" w:rsidP="001603CC">
      <w:pPr>
        <w:rPr>
          <w:rFonts w:cstheme="minorHAnsi"/>
        </w:rPr>
      </w:pPr>
    </w:p>
    <w:p w14:paraId="7B4AE165" w14:textId="50A125B1" w:rsidR="006F4888" w:rsidRPr="00223455" w:rsidRDefault="006F4888" w:rsidP="001603CC">
      <w:pPr>
        <w:rPr>
          <w:rFonts w:cstheme="minorHAnsi"/>
        </w:rPr>
      </w:pPr>
    </w:p>
    <w:p w14:paraId="512FD14A" w14:textId="1A6B4955" w:rsidR="00B57382" w:rsidRPr="00223455" w:rsidRDefault="00B57382" w:rsidP="001603CC">
      <w:pPr>
        <w:rPr>
          <w:rFonts w:cstheme="minorHAnsi"/>
          <w:b/>
        </w:rPr>
      </w:pPr>
      <w:r w:rsidRPr="00223455">
        <w:rPr>
          <w:rFonts w:cstheme="minorHAnsi"/>
          <w:b/>
        </w:rPr>
        <w:t>Objectives:</w:t>
      </w:r>
    </w:p>
    <w:p w14:paraId="20E90012" w14:textId="77777777" w:rsidR="00B57382" w:rsidRPr="00223455" w:rsidRDefault="00B57382" w:rsidP="001603CC">
      <w:pPr>
        <w:rPr>
          <w:rFonts w:cstheme="minorHAnsi"/>
        </w:rPr>
      </w:pPr>
    </w:p>
    <w:p w14:paraId="13DFE299" w14:textId="17FB7905" w:rsidR="006F4888" w:rsidRPr="00223455" w:rsidRDefault="006F4888" w:rsidP="00223455">
      <w:pPr>
        <w:pStyle w:val="ListParagraph"/>
        <w:numPr>
          <w:ilvl w:val="0"/>
          <w:numId w:val="1"/>
        </w:numPr>
        <w:rPr>
          <w:rFonts w:cstheme="minorHAnsi"/>
        </w:rPr>
      </w:pPr>
      <w:r w:rsidRPr="00223455">
        <w:rPr>
          <w:rFonts w:cstheme="minorHAnsi"/>
        </w:rPr>
        <w:t>Identify the ocular pharmaceuticals that have the potential to cause systemic complications</w:t>
      </w:r>
    </w:p>
    <w:p w14:paraId="255E7389" w14:textId="35104700" w:rsidR="006F4888" w:rsidRPr="00223455" w:rsidRDefault="006F4888" w:rsidP="00223455">
      <w:pPr>
        <w:pStyle w:val="ListParagraph"/>
        <w:numPr>
          <w:ilvl w:val="0"/>
          <w:numId w:val="1"/>
        </w:numPr>
        <w:rPr>
          <w:rFonts w:cstheme="minorHAnsi"/>
        </w:rPr>
      </w:pPr>
      <w:r w:rsidRPr="00223455">
        <w:rPr>
          <w:rFonts w:cstheme="minorHAnsi"/>
        </w:rPr>
        <w:t>Review and show the system</w:t>
      </w:r>
      <w:r w:rsidR="00A46E43" w:rsidRPr="00223455">
        <w:rPr>
          <w:rFonts w:cstheme="minorHAnsi"/>
        </w:rPr>
        <w:t>ic</w:t>
      </w:r>
      <w:r w:rsidRPr="00223455">
        <w:rPr>
          <w:rFonts w:cstheme="minorHAnsi"/>
        </w:rPr>
        <w:t xml:space="preserve"> complications </w:t>
      </w:r>
      <w:r w:rsidR="00A46E43" w:rsidRPr="00223455">
        <w:rPr>
          <w:rFonts w:cstheme="minorHAnsi"/>
        </w:rPr>
        <w:t>produced</w:t>
      </w:r>
      <w:r w:rsidRPr="00223455">
        <w:rPr>
          <w:rFonts w:cstheme="minorHAnsi"/>
        </w:rPr>
        <w:t xml:space="preserve"> by </w:t>
      </w:r>
      <w:r w:rsidR="00A46E43" w:rsidRPr="00223455">
        <w:rPr>
          <w:rFonts w:cstheme="minorHAnsi"/>
        </w:rPr>
        <w:t xml:space="preserve">the </w:t>
      </w:r>
      <w:r w:rsidRPr="00223455">
        <w:rPr>
          <w:rFonts w:cstheme="minorHAnsi"/>
        </w:rPr>
        <w:t xml:space="preserve">treatment of the ocular </w:t>
      </w:r>
      <w:r w:rsidR="00A46E43" w:rsidRPr="00223455">
        <w:rPr>
          <w:rFonts w:cstheme="minorHAnsi"/>
        </w:rPr>
        <w:t>condition</w:t>
      </w:r>
    </w:p>
    <w:p w14:paraId="750DC604" w14:textId="49F56B49" w:rsidR="00A46E43" w:rsidRPr="00223455" w:rsidRDefault="00A46E43" w:rsidP="00223455">
      <w:pPr>
        <w:pStyle w:val="ListParagraph"/>
        <w:numPr>
          <w:ilvl w:val="0"/>
          <w:numId w:val="1"/>
        </w:numPr>
        <w:rPr>
          <w:rFonts w:cstheme="minorHAnsi"/>
        </w:rPr>
      </w:pPr>
      <w:r w:rsidRPr="00223455">
        <w:rPr>
          <w:rFonts w:cstheme="minorHAnsi"/>
        </w:rPr>
        <w:t>Identify the systemic pharmaceuticals that have the potential to cause ocular complications</w:t>
      </w:r>
    </w:p>
    <w:p w14:paraId="6721B0D9" w14:textId="40FEB636" w:rsidR="00A46E43" w:rsidRPr="00223455" w:rsidRDefault="00A46E43" w:rsidP="00223455">
      <w:pPr>
        <w:pStyle w:val="ListParagraph"/>
        <w:numPr>
          <w:ilvl w:val="0"/>
          <w:numId w:val="1"/>
        </w:numPr>
        <w:rPr>
          <w:rFonts w:cstheme="minorHAnsi"/>
        </w:rPr>
      </w:pPr>
      <w:r w:rsidRPr="00223455">
        <w:rPr>
          <w:rFonts w:cstheme="minorHAnsi"/>
        </w:rPr>
        <w:t xml:space="preserve">Review and show the ocular complication produced by the treatment of the systemic condition </w:t>
      </w:r>
    </w:p>
    <w:p w14:paraId="2D28777B" w14:textId="61CE05C2" w:rsidR="003A71FB" w:rsidRPr="00223455" w:rsidRDefault="00A46E43" w:rsidP="00223455">
      <w:pPr>
        <w:pStyle w:val="ListParagraph"/>
        <w:numPr>
          <w:ilvl w:val="0"/>
          <w:numId w:val="1"/>
        </w:numPr>
        <w:rPr>
          <w:rFonts w:cstheme="minorHAnsi"/>
        </w:rPr>
      </w:pPr>
      <w:r w:rsidRPr="00223455">
        <w:rPr>
          <w:rFonts w:cstheme="minorHAnsi"/>
        </w:rPr>
        <w:t xml:space="preserve">Discuss how the optometrist may be the first physician to identify these potential and at time serious adverse events of complications. </w:t>
      </w:r>
    </w:p>
    <w:p w14:paraId="73545259" w14:textId="14482535" w:rsidR="008D3BFA" w:rsidRPr="00223455" w:rsidRDefault="008D3BFA" w:rsidP="008D3BFA">
      <w:pPr>
        <w:rPr>
          <w:rFonts w:cstheme="minorHAnsi"/>
        </w:rPr>
      </w:pPr>
    </w:p>
    <w:p w14:paraId="2EC813B5" w14:textId="5B11B69F" w:rsidR="008D3BFA" w:rsidRPr="00223455" w:rsidRDefault="008D3BFA" w:rsidP="008D3BFA">
      <w:pPr>
        <w:rPr>
          <w:rFonts w:cstheme="minorHAnsi"/>
          <w:b/>
        </w:rPr>
      </w:pPr>
      <w:r w:rsidRPr="00223455">
        <w:rPr>
          <w:rFonts w:cstheme="minorHAnsi"/>
          <w:b/>
        </w:rPr>
        <w:t>Outline:</w:t>
      </w:r>
    </w:p>
    <w:p w14:paraId="5197C9BA" w14:textId="77777777" w:rsidR="008D3BFA" w:rsidRPr="00223455" w:rsidRDefault="008D3BFA" w:rsidP="008D3BFA">
      <w:pPr>
        <w:rPr>
          <w:rFonts w:cstheme="minorHAnsi"/>
        </w:rPr>
      </w:pPr>
    </w:p>
    <w:p w14:paraId="228F0D96" w14:textId="6F3C31ED" w:rsidR="00D61759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Antibiotics</w:t>
      </w:r>
    </w:p>
    <w:p w14:paraId="7E40D238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Fluoroquinolones</w:t>
      </w:r>
    </w:p>
    <w:p w14:paraId="3A761EC8" w14:textId="77777777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Levaquin™ (levofloxacin)</w:t>
      </w:r>
    </w:p>
    <w:p w14:paraId="5077ACE0" w14:textId="168A3F0D" w:rsidR="00D61759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Cipro</w:t>
      </w:r>
      <w:bookmarkStart w:id="0" w:name="_Hlk535770240"/>
      <w:r w:rsidRPr="00223455">
        <w:rPr>
          <w:rFonts w:cstheme="minorHAnsi"/>
        </w:rPr>
        <w:t>™</w:t>
      </w:r>
      <w:bookmarkEnd w:id="0"/>
      <w:r w:rsidRPr="00223455">
        <w:rPr>
          <w:rFonts w:cstheme="minorHAnsi"/>
        </w:rPr>
        <w:t xml:space="preserve"> (ciprofloxacin)</w:t>
      </w:r>
    </w:p>
    <w:p w14:paraId="50A18B39" w14:textId="40A097CE" w:rsidR="00A42B47" w:rsidRPr="00223455" w:rsidRDefault="00A42B47" w:rsidP="00223455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Baxdela</w:t>
      </w:r>
      <w:proofErr w:type="spellEnd"/>
      <w:r w:rsidRPr="00223455">
        <w:rPr>
          <w:rFonts w:cstheme="minorHAnsi"/>
        </w:rPr>
        <w:t>™</w:t>
      </w:r>
      <w:r>
        <w:rPr>
          <w:rFonts w:cstheme="minorHAnsi"/>
        </w:rPr>
        <w:t xml:space="preserve"> (delafloxacin)</w:t>
      </w:r>
    </w:p>
    <w:p w14:paraId="28E540A0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Retinal detachment </w:t>
      </w:r>
    </w:p>
    <w:p w14:paraId="091C837D" w14:textId="77777777" w:rsidR="00D61759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1 in 2,500 will experience </w:t>
      </w:r>
    </w:p>
    <w:p w14:paraId="358781F1" w14:textId="2E786E5D" w:rsidR="00D61759" w:rsidRPr="00223455" w:rsidRDefault="00D61759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C</w:t>
      </w:r>
      <w:r w:rsidR="003A71FB" w:rsidRPr="00223455">
        <w:rPr>
          <w:rFonts w:cstheme="minorHAnsi"/>
        </w:rPr>
        <w:t>ompared to 1 in 1,000 who will experience tendinitis</w:t>
      </w:r>
    </w:p>
    <w:p w14:paraId="5D2EB4D5" w14:textId="15A43002" w:rsidR="008D3BFA" w:rsidRPr="00223455" w:rsidRDefault="008D3BFA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Pictures </w:t>
      </w:r>
      <w:r w:rsidR="00223455" w:rsidRPr="00223455">
        <w:rPr>
          <w:rFonts w:cstheme="minorHAnsi"/>
        </w:rPr>
        <w:t>reviewed of large horseshoe retinal tears</w:t>
      </w:r>
    </w:p>
    <w:p w14:paraId="56D268DC" w14:textId="21F3714F" w:rsidR="00223455" w:rsidRPr="00223455" w:rsidRDefault="00223455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Most likely from intravitreal injection of fluoroquinolone</w:t>
      </w:r>
    </w:p>
    <w:p w14:paraId="6551E0AF" w14:textId="77777777" w:rsidR="00D61759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lastRenderedPageBreak/>
        <w:t>Antibiotics (anti-inflammatory)</w:t>
      </w:r>
    </w:p>
    <w:p w14:paraId="74300D9B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Tetracycline analogs</w:t>
      </w:r>
    </w:p>
    <w:p w14:paraId="2D75F1D4" w14:textId="75DD9A2E" w:rsidR="00D61759" w:rsidRPr="00223455" w:rsidRDefault="00A42B47" w:rsidP="00223455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Vibramycin</w:t>
      </w:r>
      <w:proofErr w:type="spellEnd"/>
      <w:r w:rsidR="002577BF" w:rsidRPr="00223455">
        <w:rPr>
          <w:rFonts w:cstheme="minorHAnsi"/>
        </w:rPr>
        <w:t>™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Doryx</w:t>
      </w:r>
      <w:proofErr w:type="spellEnd"/>
      <w:r w:rsidRPr="00223455">
        <w:rPr>
          <w:rFonts w:cstheme="minorHAnsi"/>
        </w:rPr>
        <w:t>™</w:t>
      </w:r>
      <w:r>
        <w:rPr>
          <w:rFonts w:cstheme="minorHAnsi"/>
        </w:rPr>
        <w:t xml:space="preserve"> (d</w:t>
      </w:r>
      <w:r w:rsidR="003A71FB" w:rsidRPr="00223455">
        <w:rPr>
          <w:rFonts w:cstheme="minorHAnsi"/>
        </w:rPr>
        <w:t>oxycycline</w:t>
      </w:r>
      <w:r>
        <w:rPr>
          <w:rFonts w:cstheme="minorHAnsi"/>
        </w:rPr>
        <w:t>)</w:t>
      </w:r>
    </w:p>
    <w:p w14:paraId="6398C672" w14:textId="4762127F" w:rsidR="00D61759" w:rsidRDefault="00A42B47" w:rsidP="00223455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Minocin</w:t>
      </w:r>
      <w:proofErr w:type="spellEnd"/>
      <w:r w:rsidRPr="00223455">
        <w:rPr>
          <w:rFonts w:cstheme="minorHAnsi"/>
        </w:rPr>
        <w:t>™</w:t>
      </w:r>
      <w:r>
        <w:rPr>
          <w:rFonts w:cstheme="minorHAnsi"/>
        </w:rPr>
        <w:t xml:space="preserve"> (m</w:t>
      </w:r>
      <w:r w:rsidR="003A71FB" w:rsidRPr="00223455">
        <w:rPr>
          <w:rFonts w:cstheme="minorHAnsi"/>
        </w:rPr>
        <w:t>inocycline</w:t>
      </w:r>
      <w:r>
        <w:rPr>
          <w:rFonts w:cstheme="minorHAnsi"/>
        </w:rPr>
        <w:t>)</w:t>
      </w:r>
    </w:p>
    <w:p w14:paraId="0E7DACB7" w14:textId="1BCC47EA" w:rsidR="00A42B47" w:rsidRDefault="00A42B47" w:rsidP="00223455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Nuzyra</w:t>
      </w:r>
      <w:proofErr w:type="spellEnd"/>
      <w:r w:rsidRPr="00223455">
        <w:rPr>
          <w:rFonts w:cstheme="minorHAnsi"/>
        </w:rPr>
        <w:t>™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omadacycline</w:t>
      </w:r>
      <w:proofErr w:type="spellEnd"/>
      <w:r>
        <w:rPr>
          <w:rFonts w:cstheme="minorHAnsi"/>
        </w:rPr>
        <w:t>)</w:t>
      </w:r>
    </w:p>
    <w:p w14:paraId="414A09B6" w14:textId="2ABE7907" w:rsidR="00A42B47" w:rsidRDefault="00A42B47" w:rsidP="00223455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Seysara</w:t>
      </w:r>
      <w:proofErr w:type="spellEnd"/>
      <w:r w:rsidRPr="00223455">
        <w:rPr>
          <w:rFonts w:cstheme="minorHAnsi"/>
        </w:rPr>
        <w:t>™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sarecycline</w:t>
      </w:r>
      <w:proofErr w:type="spellEnd"/>
      <w:r>
        <w:rPr>
          <w:rFonts w:cstheme="minorHAnsi"/>
        </w:rPr>
        <w:t>)</w:t>
      </w:r>
    </w:p>
    <w:p w14:paraId="2E6E153F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Enhances the effects of </w:t>
      </w:r>
    </w:p>
    <w:p w14:paraId="4B058420" w14:textId="715DEED8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Coumadin</w:t>
      </w:r>
      <w:r w:rsidR="00ED2F3C" w:rsidRPr="00223455">
        <w:rPr>
          <w:rFonts w:cstheme="minorHAnsi"/>
        </w:rPr>
        <w:t>™</w:t>
      </w:r>
      <w:r w:rsidR="002577BF">
        <w:rPr>
          <w:rFonts w:cstheme="minorHAnsi"/>
        </w:rPr>
        <w:t xml:space="preserve"> (warfarin)</w:t>
      </w:r>
    </w:p>
    <w:p w14:paraId="7E29D4A4" w14:textId="3BA0C83C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Digoxin</w:t>
      </w:r>
      <w:r w:rsidR="00ED2F3C" w:rsidRPr="00223455">
        <w:rPr>
          <w:rFonts w:cstheme="minorHAnsi"/>
        </w:rPr>
        <w:t>™</w:t>
      </w:r>
      <w:r w:rsidR="00ED2F3C">
        <w:rPr>
          <w:rFonts w:cstheme="minorHAnsi"/>
        </w:rPr>
        <w:t xml:space="preserve"> (Lanoxin)</w:t>
      </w:r>
    </w:p>
    <w:p w14:paraId="6CA23BA0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Idiopathic intracranial hypertension</w:t>
      </w:r>
    </w:p>
    <w:p w14:paraId="0C4B9D9B" w14:textId="1E2D3990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Pseudotumor cerebri</w:t>
      </w:r>
    </w:p>
    <w:p w14:paraId="6A84E4FD" w14:textId="1049412E" w:rsidR="00D61759" w:rsidRPr="00223455" w:rsidRDefault="00D61759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“It’s not rare if it’s in your chair”</w:t>
      </w:r>
    </w:p>
    <w:p w14:paraId="65563B07" w14:textId="614386A5" w:rsidR="00D61759" w:rsidRPr="00223455" w:rsidRDefault="00D61759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Various case presentations and examples shown from clinic </w:t>
      </w:r>
    </w:p>
    <w:p w14:paraId="6DFF8C96" w14:textId="670A133F" w:rsidR="003A71F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Hyperpigmentation </w:t>
      </w:r>
      <w:r w:rsidR="00223455" w:rsidRPr="00223455">
        <w:rPr>
          <w:rFonts w:cstheme="minorHAnsi"/>
        </w:rPr>
        <w:t>of face, fingers, and legs</w:t>
      </w:r>
    </w:p>
    <w:p w14:paraId="27B5E38D" w14:textId="77777777" w:rsidR="00D61759" w:rsidRPr="00223455" w:rsidRDefault="00D61759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Various case presentations and examples shown from clinic </w:t>
      </w:r>
    </w:p>
    <w:p w14:paraId="4DE71305" w14:textId="00BA6ADC" w:rsidR="00223455" w:rsidRPr="00223455" w:rsidRDefault="00223455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Review leg photos of hyperpigmentation, day 1 </w:t>
      </w:r>
    </w:p>
    <w:p w14:paraId="05C138B8" w14:textId="134EB79F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6 Months Later</w:t>
      </w:r>
    </w:p>
    <w:p w14:paraId="109650D4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1 Year Later</w:t>
      </w:r>
    </w:p>
    <w:p w14:paraId="2F82860F" w14:textId="4894786E" w:rsidR="00D61759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Alpha 1 Blockers</w:t>
      </w:r>
    </w:p>
    <w:p w14:paraId="67EA5EFB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Treatment of enlarged prostate:</w:t>
      </w:r>
    </w:p>
    <w:p w14:paraId="2B93FAC0" w14:textId="4663741D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 w:rsidRPr="00223455">
        <w:rPr>
          <w:rFonts w:cstheme="minorHAnsi"/>
        </w:rPr>
        <w:t>Uroxatrol</w:t>
      </w:r>
      <w:proofErr w:type="spellEnd"/>
      <w:r w:rsidRPr="00223455">
        <w:rPr>
          <w:rFonts w:cstheme="minorHAnsi"/>
        </w:rPr>
        <w:t>™ (</w:t>
      </w:r>
      <w:r w:rsidR="00A42B47">
        <w:rPr>
          <w:rFonts w:cstheme="minorHAnsi"/>
        </w:rPr>
        <w:t>a</w:t>
      </w:r>
      <w:r w:rsidRPr="00223455">
        <w:rPr>
          <w:rFonts w:cstheme="minorHAnsi"/>
        </w:rPr>
        <w:t>lfuzosin)</w:t>
      </w:r>
    </w:p>
    <w:p w14:paraId="57E77698" w14:textId="3B71E7AF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Flomax™ (</w:t>
      </w:r>
      <w:r w:rsidR="00A42B47">
        <w:rPr>
          <w:rFonts w:cstheme="minorHAnsi"/>
        </w:rPr>
        <w:t>t</w:t>
      </w:r>
      <w:r w:rsidRPr="00223455">
        <w:rPr>
          <w:rFonts w:cstheme="minorHAnsi"/>
        </w:rPr>
        <w:t>amsulosin)</w:t>
      </w:r>
    </w:p>
    <w:p w14:paraId="0384B341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These two agents LIKELY have the highest incidence of causing floppy iris syndrome, as they are selective for alpha 1a receptors, which also predominate in the eye</w:t>
      </w:r>
    </w:p>
    <w:p w14:paraId="15ACA543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Treatment of CHF and/or hypertension</w:t>
      </w:r>
    </w:p>
    <w:p w14:paraId="167FB932" w14:textId="61EBFC3F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Coreg™ (</w:t>
      </w:r>
      <w:r w:rsidR="00A42B47">
        <w:rPr>
          <w:rFonts w:cstheme="minorHAnsi"/>
        </w:rPr>
        <w:t>c</w:t>
      </w:r>
      <w:r w:rsidRPr="00223455">
        <w:rPr>
          <w:rFonts w:cstheme="minorHAnsi"/>
        </w:rPr>
        <w:t>arvedilol)</w:t>
      </w:r>
    </w:p>
    <w:p w14:paraId="63836C3B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Alpha1/beta 2 blocker</w:t>
      </w:r>
    </w:p>
    <w:p w14:paraId="350F1800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Treatment of refractory hypertension:</w:t>
      </w:r>
    </w:p>
    <w:p w14:paraId="7F14799B" w14:textId="64A3006D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Hytrin™ (</w:t>
      </w:r>
      <w:r w:rsidR="00A42B47">
        <w:rPr>
          <w:rFonts w:cstheme="minorHAnsi"/>
        </w:rPr>
        <w:t>t</w:t>
      </w:r>
      <w:r w:rsidRPr="00223455">
        <w:rPr>
          <w:rFonts w:cstheme="minorHAnsi"/>
        </w:rPr>
        <w:t>erazosin)</w:t>
      </w:r>
    </w:p>
    <w:p w14:paraId="731BD49D" w14:textId="7CB60E8D" w:rsidR="003A71F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Alpha 1 blocker</w:t>
      </w:r>
    </w:p>
    <w:p w14:paraId="7AB0601F" w14:textId="77777777" w:rsidR="00D61759" w:rsidRPr="00223455" w:rsidRDefault="00D61759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Ocular considerations and adverse events </w:t>
      </w:r>
    </w:p>
    <w:p w14:paraId="37900A17" w14:textId="77777777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Floppy iris syndrome and miosis!</w:t>
      </w:r>
    </w:p>
    <w:p w14:paraId="4C5D39D1" w14:textId="77777777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After 4 rounds of phenylephrine, tropicamide, and cyclopentolate, if poor dilation</w:t>
      </w:r>
    </w:p>
    <w:p w14:paraId="1154E8B0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Iris hooks</w:t>
      </w:r>
    </w:p>
    <w:p w14:paraId="2D0CB3E4" w14:textId="77777777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What happens at the time of making the incision?</w:t>
      </w:r>
    </w:p>
    <w:p w14:paraId="0FB1080D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Tricks with different viscoelastic agents  </w:t>
      </w:r>
    </w:p>
    <w:p w14:paraId="507B7F0C" w14:textId="77777777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Post op day 1, IOP 43</w:t>
      </w:r>
    </w:p>
    <w:p w14:paraId="7C920266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What’s the caution? </w:t>
      </w:r>
    </w:p>
    <w:p w14:paraId="178DF34A" w14:textId="77777777" w:rsidR="00D61759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Anti-</w:t>
      </w:r>
      <w:proofErr w:type="spellStart"/>
      <w:r w:rsidRPr="00223455">
        <w:rPr>
          <w:rFonts w:cstheme="minorHAnsi"/>
          <w:bCs/>
        </w:rPr>
        <w:t>arrhythmics</w:t>
      </w:r>
      <w:proofErr w:type="spellEnd"/>
    </w:p>
    <w:p w14:paraId="5D7F8C1B" w14:textId="77777777" w:rsidR="00D61759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Treatment of cardiac arrhythmia </w:t>
      </w:r>
    </w:p>
    <w:p w14:paraId="09455865" w14:textId="77777777" w:rsidR="00D61759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 w:rsidRPr="00223455">
        <w:rPr>
          <w:rFonts w:cstheme="minorHAnsi"/>
        </w:rPr>
        <w:t>Cordarone</w:t>
      </w:r>
      <w:proofErr w:type="spellEnd"/>
      <w:r w:rsidRPr="00223455">
        <w:rPr>
          <w:rFonts w:cstheme="minorHAnsi"/>
        </w:rPr>
        <w:t>™ (amiodarone)</w:t>
      </w:r>
    </w:p>
    <w:p w14:paraId="24A21DE0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Corneal deposits</w:t>
      </w:r>
    </w:p>
    <w:p w14:paraId="5367050E" w14:textId="77777777" w:rsidR="00D61759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Optic neuritis </w:t>
      </w:r>
    </w:p>
    <w:p w14:paraId="7BACFAF8" w14:textId="77777777" w:rsidR="001B0CAB" w:rsidRPr="00223455" w:rsidRDefault="00D61759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lastRenderedPageBreak/>
        <w:t>65-year-old</w:t>
      </w:r>
      <w:r w:rsidR="003A71FB" w:rsidRPr="00223455">
        <w:rPr>
          <w:rFonts w:cstheme="minorHAnsi"/>
        </w:rPr>
        <w:t xml:space="preserve"> woman</w:t>
      </w:r>
      <w:r w:rsidR="001B0CAB" w:rsidRPr="00223455">
        <w:rPr>
          <w:rFonts w:cstheme="minorHAnsi"/>
        </w:rPr>
        <w:t xml:space="preserve"> r</w:t>
      </w:r>
      <w:r w:rsidR="003A71FB" w:rsidRPr="00223455">
        <w:rPr>
          <w:rFonts w:cstheme="minorHAnsi"/>
        </w:rPr>
        <w:t>eports decreasing vision over past 6-9 months.  Especially at near</w:t>
      </w:r>
    </w:p>
    <w:p w14:paraId="4A0D8A68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Vision 20/50 OU</w:t>
      </w:r>
    </w:p>
    <w:p w14:paraId="5AC2A738" w14:textId="48ADCC65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Topography</w:t>
      </w:r>
      <w:r w:rsidR="00223455" w:rsidRPr="00223455">
        <w:rPr>
          <w:rFonts w:cstheme="minorHAnsi"/>
        </w:rPr>
        <w:t xml:space="preserve"> showing irregular astigmatism resulting in reduced vision</w:t>
      </w:r>
    </w:p>
    <w:p w14:paraId="03FD6B3F" w14:textId="1D22A3C3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Topography</w:t>
      </w:r>
      <w:r w:rsidR="001B0CAB" w:rsidRPr="00223455">
        <w:rPr>
          <w:rFonts w:cstheme="minorHAnsi"/>
        </w:rPr>
        <w:t xml:space="preserve">- </w:t>
      </w:r>
      <w:r w:rsidRPr="00223455">
        <w:rPr>
          <w:rFonts w:cstheme="minorHAnsi"/>
        </w:rPr>
        <w:t>6 Months Later</w:t>
      </w:r>
      <w:r w:rsidR="00223455" w:rsidRPr="00223455">
        <w:rPr>
          <w:rFonts w:cstheme="minorHAnsi"/>
        </w:rPr>
        <w:t>, resolved irregular astigmatism</w:t>
      </w:r>
    </w:p>
    <w:p w14:paraId="54F134A0" w14:textId="44F82C28" w:rsidR="00223455" w:rsidRPr="00223455" w:rsidRDefault="00223455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Increased vision </w:t>
      </w:r>
    </w:p>
    <w:p w14:paraId="47368707" w14:textId="648A857A" w:rsidR="001B0CAB" w:rsidRPr="00223455" w:rsidRDefault="001B0CA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67-year-old</w:t>
      </w:r>
      <w:r w:rsidR="003A71FB" w:rsidRPr="00223455">
        <w:rPr>
          <w:rFonts w:cstheme="minorHAnsi"/>
        </w:rPr>
        <w:t xml:space="preserve"> man complains of vision slowly deteriorating over the past 8 months </w:t>
      </w:r>
    </w:p>
    <w:p w14:paraId="52E55243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History of NA-ION 10 months ago OD</w:t>
      </w:r>
    </w:p>
    <w:p w14:paraId="0A4A9A69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Patient sees family physician for physical due to recent NA-ION</w:t>
      </w:r>
    </w:p>
    <w:p w14:paraId="1AC4D01D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Patient has not been to PCP for 35 years</w:t>
      </w:r>
    </w:p>
    <w:p w14:paraId="561A142D" w14:textId="6ACCB9F0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Patient started </w:t>
      </w:r>
      <w:proofErr w:type="spellStart"/>
      <w:r w:rsidRPr="00223455">
        <w:rPr>
          <w:rFonts w:cstheme="minorHAnsi"/>
        </w:rPr>
        <w:t>C</w:t>
      </w:r>
      <w:r w:rsidR="00ED2F3C">
        <w:rPr>
          <w:rFonts w:cstheme="minorHAnsi"/>
        </w:rPr>
        <w:t>o</w:t>
      </w:r>
      <w:r w:rsidRPr="00223455">
        <w:rPr>
          <w:rFonts w:cstheme="minorHAnsi"/>
        </w:rPr>
        <w:t>rdarone</w:t>
      </w:r>
      <w:proofErr w:type="spellEnd"/>
      <w:r w:rsidRPr="00223455">
        <w:rPr>
          <w:rFonts w:cstheme="minorHAnsi"/>
        </w:rPr>
        <w:t>™</w:t>
      </w:r>
    </w:p>
    <w:p w14:paraId="54AF3093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VA 20/80 OD 20/25 OS (9 months ago) </w:t>
      </w:r>
    </w:p>
    <w:p w14:paraId="624A27A4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VA 20/400 OD 20/200 OS (today)</w:t>
      </w:r>
    </w:p>
    <w:p w14:paraId="771548BA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CF: severe constriction OU</w:t>
      </w:r>
    </w:p>
    <w:p w14:paraId="7B79E9F6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SLE: vortex corneal whorls OU</w:t>
      </w:r>
    </w:p>
    <w:p w14:paraId="3EA03774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Amiodarone Optic Neuropathy</w:t>
      </w:r>
      <w:r w:rsidR="001B0CAB" w:rsidRPr="00223455">
        <w:rPr>
          <w:rFonts w:cstheme="minorHAnsi"/>
        </w:rPr>
        <w:t xml:space="preserve">- </w:t>
      </w:r>
      <w:r w:rsidRPr="00223455">
        <w:rPr>
          <w:rFonts w:cstheme="minorHAnsi"/>
        </w:rPr>
        <w:t>Toxic Optic Neuropathy</w:t>
      </w:r>
    </w:p>
    <w:p w14:paraId="209A8452" w14:textId="77777777" w:rsidR="001B0CAB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</w:rPr>
        <w:t>Toxic Optic Neuropathy Causes</w:t>
      </w:r>
    </w:p>
    <w:p w14:paraId="1EF21D03" w14:textId="274F61B4" w:rsidR="001B0CAB" w:rsidRPr="00223455" w:rsidRDefault="00ED2F3C" w:rsidP="00223455">
      <w:pPr>
        <w:pStyle w:val="ListParagraph"/>
        <w:numPr>
          <w:ilvl w:val="1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Myambutol</w:t>
      </w:r>
      <w:proofErr w:type="spellEnd"/>
      <w:r w:rsidRPr="00223455">
        <w:rPr>
          <w:rFonts w:cstheme="minorHAnsi"/>
        </w:rPr>
        <w:t>™</w:t>
      </w:r>
      <w:r>
        <w:rPr>
          <w:rFonts w:cstheme="minorHAnsi"/>
        </w:rPr>
        <w:t xml:space="preserve"> (e</w:t>
      </w:r>
      <w:r w:rsidR="003A71FB" w:rsidRPr="00223455">
        <w:rPr>
          <w:rFonts w:cstheme="minorHAnsi"/>
        </w:rPr>
        <w:t>thambutol</w:t>
      </w:r>
      <w:r>
        <w:rPr>
          <w:rFonts w:cstheme="minorHAnsi"/>
        </w:rPr>
        <w:t>)</w:t>
      </w:r>
      <w:r w:rsidR="003A71FB" w:rsidRPr="00223455">
        <w:rPr>
          <w:rFonts w:cstheme="minorHAnsi"/>
        </w:rPr>
        <w:t xml:space="preserve"> (TB)</w:t>
      </w:r>
    </w:p>
    <w:p w14:paraId="4B66FA82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Isoniazid</w:t>
      </w:r>
    </w:p>
    <w:p w14:paraId="11913A01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Antimicrobials</w:t>
      </w:r>
    </w:p>
    <w:p w14:paraId="3AA70F8F" w14:textId="77777777" w:rsidR="001B0CAB" w:rsidRPr="00223455" w:rsidRDefault="001B0CA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C</w:t>
      </w:r>
      <w:r w:rsidR="003A71FB" w:rsidRPr="00223455">
        <w:rPr>
          <w:rFonts w:cstheme="minorHAnsi"/>
        </w:rPr>
        <w:t>hloramphenicol, streptomycin, penicillamine</w:t>
      </w:r>
    </w:p>
    <w:p w14:paraId="096B6B84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Halogenated </w:t>
      </w:r>
      <w:proofErr w:type="spellStart"/>
      <w:r w:rsidRPr="00223455">
        <w:rPr>
          <w:rFonts w:cstheme="minorHAnsi"/>
        </w:rPr>
        <w:t>hydroxyquinolones</w:t>
      </w:r>
      <w:proofErr w:type="spellEnd"/>
    </w:p>
    <w:p w14:paraId="50BF37AC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Vigabatrin</w:t>
      </w:r>
    </w:p>
    <w:p w14:paraId="0FAA0EFE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Disulfiram</w:t>
      </w:r>
    </w:p>
    <w:p w14:paraId="23CD5FB3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Tamoxifen</w:t>
      </w:r>
    </w:p>
    <w:p w14:paraId="7572A442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Sildenafil</w:t>
      </w:r>
    </w:p>
    <w:p w14:paraId="5EF733A1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Methanol</w:t>
      </w:r>
    </w:p>
    <w:p w14:paraId="3F261780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Heavy metals</w:t>
      </w:r>
    </w:p>
    <w:p w14:paraId="70843A7D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Fumes</w:t>
      </w:r>
    </w:p>
    <w:p w14:paraId="0417A849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Solvents</w:t>
      </w:r>
    </w:p>
    <w:p w14:paraId="74F9BA4E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Alcohol abuse</w:t>
      </w:r>
    </w:p>
    <w:p w14:paraId="75FE270C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Tobacco abuse</w:t>
      </w:r>
    </w:p>
    <w:p w14:paraId="1D6D52C8" w14:textId="77777777" w:rsidR="001B0CAB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Osteoporosis Medications</w:t>
      </w:r>
    </w:p>
    <w:p w14:paraId="69265CB8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Bisphosphonates:</w:t>
      </w:r>
    </w:p>
    <w:p w14:paraId="099B184F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Fosamax™ (Alendronate)</w:t>
      </w:r>
    </w:p>
    <w:p w14:paraId="0BA2657B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Actonel™ (Risedronate)</w:t>
      </w:r>
    </w:p>
    <w:p w14:paraId="5F4F83F3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Episcleritis</w:t>
      </w:r>
    </w:p>
    <w:p w14:paraId="76FAC261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Uveitis</w:t>
      </w:r>
    </w:p>
    <w:p w14:paraId="56B6E99E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Iritis</w:t>
      </w:r>
    </w:p>
    <w:p w14:paraId="31DC288B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Typically, the benefit of using these agents outweigh the risks for ocular side effects</w:t>
      </w:r>
    </w:p>
    <w:p w14:paraId="4AFF97B7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Encourage patients to get regular ophthalmic exams and to report any acute changes!</w:t>
      </w:r>
    </w:p>
    <w:p w14:paraId="066AAFC0" w14:textId="77777777" w:rsidR="001B0CAB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COX-2 Specific Inhibitors</w:t>
      </w:r>
    </w:p>
    <w:p w14:paraId="36DD069C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Celebrex™ (celecoxib)</w:t>
      </w:r>
    </w:p>
    <w:p w14:paraId="6C92C213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Cataracts</w:t>
      </w:r>
    </w:p>
    <w:p w14:paraId="1DCB9A09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Glaucoma</w:t>
      </w:r>
    </w:p>
    <w:p w14:paraId="61FFB727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lastRenderedPageBreak/>
        <w:t>Conjunctival hemorrhage</w:t>
      </w:r>
    </w:p>
    <w:p w14:paraId="626B8A9A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Vitreous floaters</w:t>
      </w:r>
    </w:p>
    <w:p w14:paraId="6FBCCC69" w14:textId="7A2A894E" w:rsidR="001B0CAB" w:rsidRPr="00223455" w:rsidRDefault="001B0CA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Hey Celebrex, ™ </w:t>
      </w:r>
      <w:r w:rsidR="003A71FB" w:rsidRPr="00223455">
        <w:rPr>
          <w:rFonts w:cstheme="minorHAnsi"/>
        </w:rPr>
        <w:t xml:space="preserve">where did your brothers </w:t>
      </w:r>
      <w:r w:rsidR="003A71FB" w:rsidRPr="00223455">
        <w:rPr>
          <w:rFonts w:cstheme="minorHAnsi"/>
          <w:bCs/>
        </w:rPr>
        <w:t>Vioxx</w:t>
      </w:r>
      <w:r w:rsidR="003A71FB" w:rsidRPr="00223455">
        <w:rPr>
          <w:rFonts w:cstheme="minorHAnsi"/>
        </w:rPr>
        <w:t>™</w:t>
      </w:r>
      <w:r w:rsidR="003A71FB" w:rsidRPr="00223455">
        <w:rPr>
          <w:rFonts w:cstheme="minorHAnsi"/>
          <w:bCs/>
        </w:rPr>
        <w:t xml:space="preserve"> </w:t>
      </w:r>
      <w:r w:rsidR="003A71FB" w:rsidRPr="00223455">
        <w:rPr>
          <w:rFonts w:cstheme="minorHAnsi"/>
        </w:rPr>
        <w:t xml:space="preserve">and </w:t>
      </w:r>
      <w:proofErr w:type="spellStart"/>
      <w:r w:rsidR="003A71FB" w:rsidRPr="00223455">
        <w:rPr>
          <w:rFonts w:cstheme="minorHAnsi"/>
          <w:bCs/>
        </w:rPr>
        <w:t>Bextra</w:t>
      </w:r>
      <w:proofErr w:type="spellEnd"/>
      <w:r w:rsidR="003A71FB" w:rsidRPr="00223455">
        <w:rPr>
          <w:rFonts w:cstheme="minorHAnsi"/>
        </w:rPr>
        <w:t xml:space="preserve">™ go?!?! </w:t>
      </w:r>
    </w:p>
    <w:p w14:paraId="3BC0FE3F" w14:textId="77777777" w:rsidR="001B0CAB" w:rsidRPr="00223455" w:rsidRDefault="001B0CAB" w:rsidP="00223455">
      <w:pPr>
        <w:pStyle w:val="ListParagraph"/>
        <w:numPr>
          <w:ilvl w:val="2"/>
          <w:numId w:val="3"/>
        </w:numPr>
        <w:rPr>
          <w:rFonts w:cstheme="minorHAnsi"/>
          <w:cs/>
        </w:rPr>
      </w:pPr>
      <w:r w:rsidRPr="00223455">
        <w:rPr>
          <w:rFonts w:cstheme="minorHAnsi"/>
        </w:rPr>
        <w:t>Oh,</w:t>
      </w:r>
      <w:r w:rsidR="003A71FB" w:rsidRPr="00223455">
        <w:rPr>
          <w:rFonts w:cstheme="minorHAnsi"/>
        </w:rPr>
        <w:t xml:space="preserve"> how we miss them</w:t>
      </w:r>
      <w:r w:rsidR="003A71FB" w:rsidRPr="00223455">
        <w:rPr>
          <w:rFonts w:cstheme="minorHAnsi"/>
          <w:cs/>
          <w:lang w:bidi="mr-IN"/>
        </w:rPr>
        <w:t>…</w:t>
      </w:r>
    </w:p>
    <w:p w14:paraId="573C3D5A" w14:textId="77777777" w:rsidR="001B0CAB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Anticonvulsants</w:t>
      </w:r>
    </w:p>
    <w:p w14:paraId="3E901488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Sabril™ (vigabatrin)</w:t>
      </w:r>
    </w:p>
    <w:p w14:paraId="061E47D0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Uncommon agent used in infantile spasms and in refractory partial complex seizures</w:t>
      </w:r>
    </w:p>
    <w:p w14:paraId="2069F9EA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FDA mandated BLACK BOX WARNING:</w:t>
      </w:r>
    </w:p>
    <w:p w14:paraId="1902A270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Optic atrophy</w:t>
      </w:r>
    </w:p>
    <w:p w14:paraId="4EBBE9B3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Optic neuritis</w:t>
      </w:r>
    </w:p>
    <w:p w14:paraId="18A8108A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Peripheral constriction of visual field</w:t>
      </w:r>
    </w:p>
    <w:p w14:paraId="17C9CC3E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Decrease in visual acuity</w:t>
      </w:r>
    </w:p>
    <w:p w14:paraId="644283A6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Toxic Optic Neuropathy</w:t>
      </w:r>
    </w:p>
    <w:p w14:paraId="6DE378BE" w14:textId="1CDA9938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Selective, irreversible, inhibitor of GABA transaminase for refractory complex partial seizures and infantile spasms</w:t>
      </w:r>
    </w:p>
    <w:p w14:paraId="08DF5866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Clearly been shown to cause a dose-dependent, permanent peripheral field constriction. </w:t>
      </w:r>
    </w:p>
    <w:p w14:paraId="755DCE68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The earliest reports of toxicity were after 11 months of exposure</w:t>
      </w:r>
    </w:p>
    <w:p w14:paraId="3B6F8E77" w14:textId="77777777" w:rsidR="001B0CA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The vision loss is usually asymptomatic and spares the macula</w:t>
      </w:r>
    </w:p>
    <w:p w14:paraId="14E58255" w14:textId="77777777" w:rsidR="001B0CA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Sub-clinical depression of macular function and color vision deficits have been reported</w:t>
      </w:r>
    </w:p>
    <w:p w14:paraId="617B9EE4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Mechanism has not yet been fully demonstrated</w:t>
      </w:r>
    </w:p>
    <w:p w14:paraId="503DE9D2" w14:textId="77777777" w:rsidR="001B0CA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Most likely involves toxicity to both retinal photoreceptors and ganglion cells</w:t>
      </w:r>
    </w:p>
    <w:p w14:paraId="1EE340E3" w14:textId="77777777" w:rsidR="001B0CA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Possibly induces a taurine deficiency that leads to toxicity</w:t>
      </w:r>
    </w:p>
    <w:p w14:paraId="330ED5A6" w14:textId="77777777" w:rsidR="001B0CA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Taurine supplementation may prevent toxicity</w:t>
      </w:r>
    </w:p>
    <w:p w14:paraId="554453AB" w14:textId="77777777" w:rsidR="001B0CAB" w:rsidRPr="00223455" w:rsidRDefault="003A71FB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Autoimmune Agents</w:t>
      </w:r>
    </w:p>
    <w:p w14:paraId="0867A794" w14:textId="77777777" w:rsidR="001B0CAB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Treatment of Multiple Sclerosis</w:t>
      </w:r>
    </w:p>
    <w:p w14:paraId="2018242F" w14:textId="77777777" w:rsidR="001B0CAB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Gilenya™ (fingolimod) </w:t>
      </w:r>
    </w:p>
    <w:p w14:paraId="18A1CC2D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FDA-approved oral agent for the treatment of relapsing forms of multiple sclerosis (MS) in September 2010</w:t>
      </w:r>
    </w:p>
    <w:p w14:paraId="53DAE5F2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Macular edema</w:t>
      </w:r>
    </w:p>
    <w:p w14:paraId="0BCAAFF4" w14:textId="77777777" w:rsidR="001B0CA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FAME - Fingolimod-Associated Macular Edema</w:t>
      </w:r>
    </w:p>
    <w:p w14:paraId="4C4800EF" w14:textId="77777777" w:rsidR="001B0CAB" w:rsidRPr="00223455" w:rsidRDefault="001B0CA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52-year-old</w:t>
      </w:r>
      <w:r w:rsidR="003A71FB" w:rsidRPr="00223455">
        <w:rPr>
          <w:rFonts w:cstheme="minorHAnsi"/>
        </w:rPr>
        <w:t xml:space="preserve"> woman</w:t>
      </w:r>
      <w:r w:rsidRPr="00223455">
        <w:rPr>
          <w:rFonts w:cstheme="minorHAnsi"/>
        </w:rPr>
        <w:t>, h</w:t>
      </w:r>
      <w:r w:rsidR="003A71FB" w:rsidRPr="00223455">
        <w:rPr>
          <w:rFonts w:cstheme="minorHAnsi"/>
        </w:rPr>
        <w:t xml:space="preserve">istory of MS was switched from Tysabri™(natalizumab) to Gilenya™ (fingolimod) </w:t>
      </w:r>
    </w:p>
    <w:p w14:paraId="4510EE80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Blurred vision in her left eye, BVA 20/40</w:t>
      </w:r>
    </w:p>
    <w:p w14:paraId="595D3AF7" w14:textId="77777777" w:rsidR="001B0CA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Noticed blurred vision 7-8 weeks after starting Gilenya™ </w:t>
      </w:r>
    </w:p>
    <w:p w14:paraId="44BFC4D9" w14:textId="77777777" w:rsidR="001B0CAB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Gilenya</w:t>
      </w:r>
      <w:r w:rsidRPr="00223455">
        <w:rPr>
          <w:rFonts w:cstheme="minorHAnsi"/>
        </w:rPr>
        <w:t>™</w:t>
      </w:r>
      <w:r w:rsidRPr="00223455">
        <w:rPr>
          <w:rFonts w:cstheme="minorHAnsi"/>
          <w:bCs/>
        </w:rPr>
        <w:t xml:space="preserve"> (fingolimod) &amp; FAME</w:t>
      </w:r>
    </w:p>
    <w:p w14:paraId="171387AE" w14:textId="77777777" w:rsidR="008D3BFA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Prior to starting medication</w:t>
      </w:r>
    </w:p>
    <w:p w14:paraId="03777224" w14:textId="77777777" w:rsidR="008D3BFA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Follow up in 3-6 months after medication started</w:t>
      </w:r>
    </w:p>
    <w:p w14:paraId="77FFD646" w14:textId="77777777" w:rsidR="008D3BFA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If FAME occurs</w:t>
      </w:r>
    </w:p>
    <w:p w14:paraId="6DDEBAED" w14:textId="77777777" w:rsidR="008D3BFA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Stopping Gilenya typically will reverse edema</w:t>
      </w:r>
    </w:p>
    <w:p w14:paraId="4B0D50B9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May need topical NSAID and/or steroid </w:t>
      </w:r>
    </w:p>
    <w:p w14:paraId="62DF4C0C" w14:textId="77777777" w:rsidR="008D3BFA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 xml:space="preserve">Another </w:t>
      </w:r>
      <w:r w:rsidR="008D3BFA" w:rsidRPr="00223455">
        <w:rPr>
          <w:rFonts w:cstheme="minorHAnsi"/>
          <w:bCs/>
        </w:rPr>
        <w:t xml:space="preserve">case of </w:t>
      </w:r>
      <w:r w:rsidRPr="00223455">
        <w:rPr>
          <w:rFonts w:cstheme="minorHAnsi"/>
          <w:bCs/>
        </w:rPr>
        <w:t>Gilenya</w:t>
      </w:r>
      <w:r w:rsidRPr="00223455">
        <w:rPr>
          <w:rFonts w:cstheme="minorHAnsi"/>
        </w:rPr>
        <w:t>™</w:t>
      </w:r>
      <w:r w:rsidRPr="00223455">
        <w:rPr>
          <w:rFonts w:cstheme="minorHAnsi"/>
          <w:bCs/>
        </w:rPr>
        <w:t>(fingolimod) and FAME</w:t>
      </w:r>
    </w:p>
    <w:p w14:paraId="23050587" w14:textId="77777777" w:rsidR="008D3BFA" w:rsidRPr="00223455" w:rsidRDefault="003A71FB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>Treatment of rheumatologic conditions</w:t>
      </w:r>
    </w:p>
    <w:p w14:paraId="6FAC029F" w14:textId="77777777" w:rsidR="008D3BFA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lastRenderedPageBreak/>
        <w:t xml:space="preserve">Rheumatoid arthritis, systemic lupus </w:t>
      </w:r>
      <w:proofErr w:type="spellStart"/>
      <w:r w:rsidRPr="00223455">
        <w:rPr>
          <w:rFonts w:cstheme="minorHAnsi"/>
        </w:rPr>
        <w:t>erythmatosis</w:t>
      </w:r>
      <w:proofErr w:type="spellEnd"/>
    </w:p>
    <w:p w14:paraId="2046C3DE" w14:textId="77777777" w:rsidR="008D3BFA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>Plaquenil™ (hydroxychloroquine)</w:t>
      </w:r>
    </w:p>
    <w:p w14:paraId="6D07E979" w14:textId="77777777" w:rsidR="008D3BFA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Bull’s eye maculopathy </w:t>
      </w:r>
    </w:p>
    <w:p w14:paraId="6FC24FC3" w14:textId="77777777" w:rsidR="008D3BFA" w:rsidRPr="00223455" w:rsidRDefault="003A71FB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  <w:bCs/>
        </w:rPr>
        <w:t>Immunosuppressive Medications</w:t>
      </w:r>
    </w:p>
    <w:p w14:paraId="4E9DE6B6" w14:textId="77777777" w:rsidR="008D3BFA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Hydroxychloroquine (Plaquenil™) - Anti-malarial</w:t>
      </w:r>
    </w:p>
    <w:p w14:paraId="0BE42F24" w14:textId="77777777" w:rsidR="008D3BFA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Ophthalmic side effects (infrequent with current dosing ranges)</w:t>
      </w:r>
    </w:p>
    <w:p w14:paraId="0E25F149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Irreversible retinal damage has been observed (“chloroquine retinopathy”)</w:t>
      </w:r>
    </w:p>
    <w:p w14:paraId="21A9A7FE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If there are any indications of abnormality in the color vision, visual acuity, visual field, or retinal macular areas, or any visual symptoms (</w:t>
      </w:r>
      <w:proofErr w:type="spellStart"/>
      <w:r w:rsidRPr="00223455">
        <w:rPr>
          <w:rFonts w:cstheme="minorHAnsi"/>
        </w:rPr>
        <w:t>eg</w:t>
      </w:r>
      <w:proofErr w:type="spellEnd"/>
      <w:r w:rsidRPr="00223455">
        <w:rPr>
          <w:rFonts w:cstheme="minorHAnsi"/>
        </w:rPr>
        <w:t xml:space="preserve">, light flashes or streaks), d/c drug stat </w:t>
      </w:r>
    </w:p>
    <w:p w14:paraId="5D125328" w14:textId="77777777" w:rsidR="008D3BFA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Revised Recommendations on Screening for Chloroquine and Hydroxychloroquine Retinopathy</w:t>
      </w:r>
    </w:p>
    <w:p w14:paraId="296F94FA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Recommendations were 2002 by the American Academy of Ophthalmology</w:t>
      </w:r>
    </w:p>
    <w:p w14:paraId="7886377F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Improved screening tools and new knowledge about prevalence of toxicity have prompt the change</w:t>
      </w:r>
    </w:p>
    <w:p w14:paraId="1C64D76F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1% after 5-7 years of use or a cumulative dose of 1000 grams (Plaquenil)</w:t>
      </w:r>
    </w:p>
    <w:p w14:paraId="767AEFB5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There is no treatment for this condition</w:t>
      </w:r>
    </w:p>
    <w:p w14:paraId="37C3800B" w14:textId="51EFEFC7" w:rsidR="008D3BFA" w:rsidRPr="00223455" w:rsidRDefault="008D3BFA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Therefore,</w:t>
      </w:r>
      <w:r w:rsidR="003A71FB" w:rsidRPr="00223455">
        <w:rPr>
          <w:rFonts w:cstheme="minorHAnsi"/>
        </w:rPr>
        <w:t xml:space="preserve"> must be caught early</w:t>
      </w:r>
    </w:p>
    <w:p w14:paraId="6E381330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Screening for the earliest hints of functional or anatomic change</w:t>
      </w:r>
    </w:p>
    <w:p w14:paraId="6E747C45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Plaquenil toxicity is not well understood</w:t>
      </w:r>
    </w:p>
    <w:p w14:paraId="7F0F5583" w14:textId="77777777" w:rsidR="008D3BFA" w:rsidRPr="00223455" w:rsidRDefault="003A71FB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Revised Again </w:t>
      </w:r>
    </w:p>
    <w:p w14:paraId="4E412D3A" w14:textId="1395E0D5" w:rsidR="008D3BFA" w:rsidRPr="00223455" w:rsidRDefault="008D3BFA" w:rsidP="00223455">
      <w:pPr>
        <w:pStyle w:val="ListParagraph"/>
        <w:numPr>
          <w:ilvl w:val="3"/>
          <w:numId w:val="3"/>
        </w:numPr>
        <w:rPr>
          <w:rFonts w:cstheme="minorHAnsi"/>
        </w:rPr>
      </w:pPr>
      <w:r w:rsidRPr="00223455">
        <w:rPr>
          <w:rFonts w:cstheme="minorHAnsi"/>
        </w:rPr>
        <w:t>71-year-old</w:t>
      </w:r>
      <w:r w:rsidR="003A71FB" w:rsidRPr="00223455">
        <w:rPr>
          <w:rFonts w:cstheme="minorHAnsi"/>
        </w:rPr>
        <w:t xml:space="preserve"> woman</w:t>
      </w:r>
      <w:r w:rsidRPr="00223455">
        <w:rPr>
          <w:rFonts w:cstheme="minorHAnsi"/>
        </w:rPr>
        <w:t xml:space="preserve"> w</w:t>
      </w:r>
      <w:r w:rsidR="003A71FB" w:rsidRPr="00223455">
        <w:rPr>
          <w:rFonts w:cstheme="minorHAnsi"/>
        </w:rPr>
        <w:t>ith Lupus and hypertension</w:t>
      </w:r>
    </w:p>
    <w:p w14:paraId="1A347547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Medications:</w:t>
      </w:r>
    </w:p>
    <w:p w14:paraId="0D28574E" w14:textId="121080E0" w:rsidR="008D3BFA" w:rsidRPr="00223455" w:rsidRDefault="00A42B47" w:rsidP="00223455">
      <w:pPr>
        <w:pStyle w:val="ListParagraph"/>
        <w:numPr>
          <w:ilvl w:val="5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Klonopin</w:t>
      </w:r>
      <w:proofErr w:type="spellEnd"/>
      <w:r w:rsidRPr="00223455">
        <w:rPr>
          <w:rFonts w:cstheme="minorHAnsi"/>
        </w:rPr>
        <w:t>™</w:t>
      </w:r>
      <w:r>
        <w:rPr>
          <w:rFonts w:cstheme="minorHAnsi"/>
        </w:rPr>
        <w:t xml:space="preserve"> (c</w:t>
      </w:r>
      <w:r w:rsidR="003A71FB" w:rsidRPr="00223455">
        <w:rPr>
          <w:rFonts w:cstheme="minorHAnsi"/>
        </w:rPr>
        <w:t>lonazepam</w:t>
      </w:r>
      <w:r>
        <w:rPr>
          <w:rFonts w:cstheme="minorHAnsi"/>
        </w:rPr>
        <w:t>)</w:t>
      </w:r>
    </w:p>
    <w:p w14:paraId="63EDF756" w14:textId="77777777" w:rsidR="008D3BFA" w:rsidRPr="00223455" w:rsidRDefault="003A71FB" w:rsidP="00223455">
      <w:pPr>
        <w:pStyle w:val="ListParagraph"/>
        <w:numPr>
          <w:ilvl w:val="5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Plaquenil™ 200 mg BID, 15 years </w:t>
      </w:r>
    </w:p>
    <w:p w14:paraId="3959F35D" w14:textId="77777777" w:rsidR="008D3BFA" w:rsidRPr="00223455" w:rsidRDefault="003A71FB" w:rsidP="00223455">
      <w:pPr>
        <w:pStyle w:val="ListParagraph"/>
        <w:numPr>
          <w:ilvl w:val="5"/>
          <w:numId w:val="3"/>
        </w:numPr>
        <w:rPr>
          <w:rFonts w:cstheme="minorHAnsi"/>
        </w:rPr>
      </w:pPr>
      <w:r w:rsidRPr="00223455">
        <w:rPr>
          <w:rFonts w:cstheme="minorHAnsi"/>
        </w:rPr>
        <w:t>81 mg ASA</w:t>
      </w:r>
    </w:p>
    <w:p w14:paraId="798405A5" w14:textId="77777777" w:rsidR="008D3BFA" w:rsidRPr="00223455" w:rsidRDefault="003A71FB" w:rsidP="00223455">
      <w:pPr>
        <w:pStyle w:val="ListParagraph"/>
        <w:numPr>
          <w:ilvl w:val="5"/>
          <w:numId w:val="3"/>
        </w:numPr>
        <w:rPr>
          <w:rFonts w:cstheme="minorHAnsi"/>
        </w:rPr>
      </w:pPr>
      <w:r w:rsidRPr="00223455">
        <w:rPr>
          <w:rFonts w:cstheme="minorHAnsi"/>
        </w:rPr>
        <w:t>Prednisone</w:t>
      </w:r>
    </w:p>
    <w:p w14:paraId="23624C17" w14:textId="340830EA" w:rsidR="008D3BFA" w:rsidRPr="00223455" w:rsidRDefault="00A42B47" w:rsidP="00223455">
      <w:pPr>
        <w:pStyle w:val="ListParagraph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Cozaar</w:t>
      </w:r>
      <w:r w:rsidRPr="00223455">
        <w:rPr>
          <w:rFonts w:cstheme="minorHAnsi"/>
        </w:rPr>
        <w:t>™</w:t>
      </w:r>
      <w:r>
        <w:rPr>
          <w:rFonts w:cstheme="minorHAnsi"/>
        </w:rPr>
        <w:t xml:space="preserve"> (l</w:t>
      </w:r>
      <w:r w:rsidR="003A71FB" w:rsidRPr="00223455">
        <w:rPr>
          <w:rFonts w:cstheme="minorHAnsi"/>
        </w:rPr>
        <w:t>osartan</w:t>
      </w:r>
      <w:r>
        <w:rPr>
          <w:rFonts w:cstheme="minorHAnsi"/>
        </w:rPr>
        <w:t>)</w:t>
      </w:r>
    </w:p>
    <w:p w14:paraId="3C2D89B1" w14:textId="77777777" w:rsidR="008D3BFA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VA 20/25 OD/OS (mild cataracts)</w:t>
      </w:r>
    </w:p>
    <w:p w14:paraId="4C6862AA" w14:textId="4722C7DA" w:rsidR="003A71FB" w:rsidRPr="00223455" w:rsidRDefault="003A71FB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Patient was told to see an ophthalmologist in 2013</w:t>
      </w:r>
    </w:p>
    <w:p w14:paraId="1C59C386" w14:textId="5A4EC1C0" w:rsidR="008D3BFA" w:rsidRPr="00223455" w:rsidRDefault="008D3BFA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Various visual fields reviewed showing toxicity</w:t>
      </w:r>
    </w:p>
    <w:p w14:paraId="1A6BD731" w14:textId="7B61BBCD" w:rsidR="008D3BFA" w:rsidRPr="00223455" w:rsidRDefault="008D3BFA" w:rsidP="00223455">
      <w:pPr>
        <w:pStyle w:val="ListParagraph"/>
        <w:numPr>
          <w:ilvl w:val="4"/>
          <w:numId w:val="3"/>
        </w:numPr>
        <w:rPr>
          <w:rFonts w:cstheme="minorHAnsi"/>
        </w:rPr>
      </w:pPr>
      <w:r w:rsidRPr="00223455">
        <w:rPr>
          <w:rFonts w:cstheme="minorHAnsi"/>
        </w:rPr>
        <w:t>Various OCTs reviewed showing toxicity</w:t>
      </w:r>
    </w:p>
    <w:p w14:paraId="51FFD2BB" w14:textId="5419FFF7" w:rsidR="008D3BFA" w:rsidRPr="00223455" w:rsidRDefault="008D3BFA" w:rsidP="00223455">
      <w:pPr>
        <w:pStyle w:val="ListParagraph"/>
        <w:numPr>
          <w:ilvl w:val="2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Various cases will be reviewed showing visual fields and OCTs defecting Plaquenil toxicity </w:t>
      </w:r>
    </w:p>
    <w:p w14:paraId="5BCF997A" w14:textId="194224F4" w:rsidR="00223455" w:rsidRPr="00223455" w:rsidRDefault="00223455" w:rsidP="00223455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62-year-old female being treated for tuberculosis </w:t>
      </w:r>
    </w:p>
    <w:p w14:paraId="27C51D4A" w14:textId="2F1E6B75" w:rsidR="00223455" w:rsidRPr="00223455" w:rsidRDefault="00223455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Using Ethambutol </w:t>
      </w:r>
    </w:p>
    <w:p w14:paraId="047D80B9" w14:textId="3729C0A3" w:rsidR="00223455" w:rsidRPr="00223455" w:rsidRDefault="00223455" w:rsidP="00223455">
      <w:pPr>
        <w:pStyle w:val="ListParagraph"/>
        <w:numPr>
          <w:ilvl w:val="1"/>
          <w:numId w:val="3"/>
        </w:numPr>
        <w:rPr>
          <w:rFonts w:cstheme="minorHAnsi"/>
        </w:rPr>
      </w:pPr>
      <w:r w:rsidRPr="00223455">
        <w:rPr>
          <w:rFonts w:cstheme="minorHAnsi"/>
        </w:rPr>
        <w:t xml:space="preserve">Result toxic optic neuropathy </w:t>
      </w:r>
    </w:p>
    <w:p w14:paraId="2A8FBDAE" w14:textId="77777777" w:rsidR="003500BD" w:rsidRDefault="008D3BFA" w:rsidP="003500BD">
      <w:pPr>
        <w:pStyle w:val="ListParagraph"/>
        <w:numPr>
          <w:ilvl w:val="0"/>
          <w:numId w:val="3"/>
        </w:numPr>
        <w:rPr>
          <w:rFonts w:cstheme="minorHAnsi"/>
        </w:rPr>
      </w:pPr>
      <w:r w:rsidRPr="00223455">
        <w:rPr>
          <w:rFonts w:cstheme="minorHAnsi"/>
        </w:rPr>
        <w:t>Thank you!</w:t>
      </w:r>
    </w:p>
    <w:p w14:paraId="640A82D4" w14:textId="0A1D8BFA" w:rsidR="003A71FB" w:rsidRPr="003500BD" w:rsidRDefault="008D3BFA" w:rsidP="003500BD">
      <w:pPr>
        <w:pStyle w:val="ListParagraph"/>
        <w:numPr>
          <w:ilvl w:val="1"/>
          <w:numId w:val="3"/>
        </w:numPr>
        <w:rPr>
          <w:rFonts w:cstheme="minorHAnsi"/>
        </w:rPr>
      </w:pPr>
      <w:r w:rsidRPr="003500BD">
        <w:rPr>
          <w:rFonts w:cstheme="minorHAnsi"/>
        </w:rPr>
        <w:t xml:space="preserve"> Greg</w:t>
      </w:r>
    </w:p>
    <w:sectPr w:rsidR="003A71FB" w:rsidRPr="003500BD" w:rsidSect="00013D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D1E9" w14:textId="77777777" w:rsidR="00FE57EF" w:rsidRDefault="00FE57EF" w:rsidP="00A42B47">
      <w:r>
        <w:separator/>
      </w:r>
    </w:p>
  </w:endnote>
  <w:endnote w:type="continuationSeparator" w:id="0">
    <w:p w14:paraId="3AE2E14C" w14:textId="77777777" w:rsidR="00FE57EF" w:rsidRDefault="00FE57EF" w:rsidP="00A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276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FE8AD" w14:textId="51CB63B6" w:rsidR="00A42B47" w:rsidRDefault="00A42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2871E" w14:textId="77777777" w:rsidR="00A42B47" w:rsidRDefault="00A4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B805" w14:textId="77777777" w:rsidR="00FE57EF" w:rsidRDefault="00FE57EF" w:rsidP="00A42B47">
      <w:r>
        <w:separator/>
      </w:r>
    </w:p>
  </w:footnote>
  <w:footnote w:type="continuationSeparator" w:id="0">
    <w:p w14:paraId="7C1A8E58" w14:textId="77777777" w:rsidR="00FE57EF" w:rsidRDefault="00FE57EF" w:rsidP="00A4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40F"/>
    <w:multiLevelType w:val="hybridMultilevel"/>
    <w:tmpl w:val="786A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16D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D5237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CC"/>
    <w:rsid w:val="00013D2C"/>
    <w:rsid w:val="000A4317"/>
    <w:rsid w:val="001603CC"/>
    <w:rsid w:val="001B0CAB"/>
    <w:rsid w:val="00223455"/>
    <w:rsid w:val="002577BF"/>
    <w:rsid w:val="003500BD"/>
    <w:rsid w:val="003A71FB"/>
    <w:rsid w:val="006F4888"/>
    <w:rsid w:val="00714FB5"/>
    <w:rsid w:val="00876620"/>
    <w:rsid w:val="008C2230"/>
    <w:rsid w:val="008D3BFA"/>
    <w:rsid w:val="00A42B47"/>
    <w:rsid w:val="00A46E43"/>
    <w:rsid w:val="00A56555"/>
    <w:rsid w:val="00A71787"/>
    <w:rsid w:val="00B57382"/>
    <w:rsid w:val="00B71873"/>
    <w:rsid w:val="00D61759"/>
    <w:rsid w:val="00EA1E11"/>
    <w:rsid w:val="00ED0B4C"/>
    <w:rsid w:val="00ED2F3C"/>
    <w:rsid w:val="00F43A16"/>
    <w:rsid w:val="00F545C6"/>
    <w:rsid w:val="00FC1328"/>
    <w:rsid w:val="00FC741D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44E2"/>
  <w14:defaultImageDpi w14:val="32767"/>
  <w15:chartTrackingRefBased/>
  <w15:docId w15:val="{0E818658-6400-CB49-B74A-5A29842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382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82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82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38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38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38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38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38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38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73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7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3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573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73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3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3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3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3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23455"/>
    <w:pP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B47"/>
  </w:style>
  <w:style w:type="paragraph" w:styleId="Footer">
    <w:name w:val="footer"/>
    <w:basedOn w:val="Normal"/>
    <w:link w:val="FooterChar"/>
    <w:uiPriority w:val="99"/>
    <w:unhideWhenUsed/>
    <w:rsid w:val="00A4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2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0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97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88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5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6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9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6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6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7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5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0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3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6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6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0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4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8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8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3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30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76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91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5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2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327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2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06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9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5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5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6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5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2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9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7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8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59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7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66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72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81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0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2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4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5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9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7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1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4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0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9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7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5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5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2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6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5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86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38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5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85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2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972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3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1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3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1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3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2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8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8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55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8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3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3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08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1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04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3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2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9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5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23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1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1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3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28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65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1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9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2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40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3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9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2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5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7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8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44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9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8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7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5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3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7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353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2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0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2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2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2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2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8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8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4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3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4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6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2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ub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Caldwell</dc:creator>
  <cp:keywords/>
  <dc:description/>
  <cp:lastModifiedBy>Gregory Caldwell</cp:lastModifiedBy>
  <cp:revision>4</cp:revision>
  <dcterms:created xsi:type="dcterms:W3CDTF">2019-01-20T23:00:00Z</dcterms:created>
  <dcterms:modified xsi:type="dcterms:W3CDTF">2020-06-29T03:54:00Z</dcterms:modified>
</cp:coreProperties>
</file>